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На основу </w:t>
      </w:r>
      <w:r w:rsidRPr="005811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111A">
        <w:rPr>
          <w:rFonts w:ascii="Arial" w:eastAsia="Times New Roman" w:hAnsi="Arial" w:cs="Arial"/>
          <w:sz w:val="20"/>
          <w:szCs w:val="20"/>
        </w:rPr>
        <w:t>Решења</w:t>
      </w:r>
      <w:proofErr w:type="spellEnd"/>
      <w:r w:rsidRPr="0058111A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8111A">
        <w:rPr>
          <w:rFonts w:ascii="Arial" w:eastAsia="Times New Roman" w:hAnsi="Arial" w:cs="Arial"/>
          <w:sz w:val="20"/>
          <w:szCs w:val="20"/>
        </w:rPr>
        <w:t>банкротству</w:t>
      </w:r>
      <w:proofErr w:type="spellEnd"/>
      <w:r w:rsidRPr="0058111A">
        <w:rPr>
          <w:rFonts w:ascii="Arial" w:eastAsia="Times New Roman" w:hAnsi="Arial" w:cs="Arial"/>
          <w:sz w:val="20"/>
          <w:szCs w:val="20"/>
        </w:rPr>
        <w:t xml:space="preserve">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Привредног суда у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Лесковцу од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58111A">
        <w:rPr>
          <w:rFonts w:ascii="Arial" w:eastAsia="Times New Roman" w:hAnsi="Arial" w:cs="Arial"/>
          <w:sz w:val="20"/>
          <w:szCs w:val="20"/>
        </w:rPr>
        <w:t>30.01.2014.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>год., бр.</w:t>
      </w:r>
      <w:r w:rsidR="005D5239">
        <w:rPr>
          <w:rFonts w:ascii="Arial" w:eastAsia="Times New Roman" w:hAnsi="Arial" w:cs="Arial"/>
          <w:sz w:val="20"/>
          <w:szCs w:val="20"/>
          <w:lang w:val="sr-Cyrl-CS"/>
        </w:rPr>
        <w:t xml:space="preserve"> предмета Ст.</w:t>
      </w:r>
      <w:r w:rsidRPr="0058111A">
        <w:rPr>
          <w:rFonts w:ascii="Arial" w:eastAsia="Arial" w:hAnsi="Arial" w:cs="Arial"/>
          <w:bCs/>
          <w:iCs/>
          <w:sz w:val="20"/>
          <w:szCs w:val="20"/>
          <w:lang w:eastAsia="el-GR"/>
        </w:rPr>
        <w:t>26</w:t>
      </w:r>
      <w:r w:rsidRPr="0058111A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/</w:t>
      </w:r>
      <w:r w:rsidRPr="0058111A">
        <w:rPr>
          <w:rFonts w:ascii="Arial" w:eastAsia="Arial" w:hAnsi="Arial" w:cs="Arial"/>
          <w:bCs/>
          <w:iCs/>
          <w:sz w:val="20"/>
          <w:szCs w:val="20"/>
          <w:lang w:eastAsia="el-GR"/>
        </w:rPr>
        <w:t>2013</w:t>
      </w:r>
      <w:r w:rsidRPr="0058111A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 xml:space="preserve"> од </w:t>
      </w:r>
      <w:r w:rsidRPr="0058111A">
        <w:rPr>
          <w:rFonts w:ascii="Arial" w:eastAsia="Arial" w:hAnsi="Arial" w:cs="Arial"/>
          <w:bCs/>
          <w:iCs/>
          <w:sz w:val="20"/>
          <w:szCs w:val="20"/>
          <w:lang w:eastAsia="el-GR"/>
        </w:rPr>
        <w:t>01</w:t>
      </w:r>
      <w:r w:rsidRPr="0058111A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.1</w:t>
      </w:r>
      <w:r w:rsidRPr="0058111A">
        <w:rPr>
          <w:rFonts w:ascii="Arial" w:eastAsia="Arial" w:hAnsi="Arial" w:cs="Arial"/>
          <w:bCs/>
          <w:iCs/>
          <w:sz w:val="20"/>
          <w:szCs w:val="20"/>
          <w:lang w:eastAsia="el-GR"/>
        </w:rPr>
        <w:t>0</w:t>
      </w:r>
      <w:r w:rsidRPr="0058111A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.20</w:t>
      </w:r>
      <w:r w:rsidRPr="0058111A">
        <w:rPr>
          <w:rFonts w:ascii="Arial" w:eastAsia="Arial" w:hAnsi="Arial" w:cs="Arial"/>
          <w:bCs/>
          <w:iCs/>
          <w:sz w:val="20"/>
          <w:szCs w:val="20"/>
          <w:lang w:eastAsia="el-GR"/>
        </w:rPr>
        <w:t xml:space="preserve">13. </w:t>
      </w:r>
      <w:proofErr w:type="spellStart"/>
      <w:proofErr w:type="gramStart"/>
      <w:r w:rsidR="006335B3">
        <w:rPr>
          <w:rFonts w:ascii="Arial" w:eastAsia="Arial" w:hAnsi="Arial" w:cs="Arial"/>
          <w:bCs/>
          <w:iCs/>
          <w:sz w:val="20"/>
          <w:szCs w:val="20"/>
          <w:lang w:eastAsia="el-GR"/>
        </w:rPr>
        <w:t>год</w:t>
      </w:r>
      <w:proofErr w:type="spellEnd"/>
      <w:r w:rsidR="006335B3">
        <w:rPr>
          <w:rFonts w:ascii="Arial" w:eastAsia="Arial" w:hAnsi="Arial" w:cs="Arial"/>
          <w:bCs/>
          <w:iCs/>
          <w:sz w:val="20"/>
          <w:szCs w:val="20"/>
          <w:lang w:eastAsia="el-GR"/>
        </w:rPr>
        <w:t>.</w:t>
      </w:r>
      <w:r w:rsidRPr="0058111A">
        <w:rPr>
          <w:rFonts w:ascii="Arial" w:eastAsia="Arial" w:hAnsi="Arial" w:cs="Arial"/>
          <w:bCs/>
          <w:iCs/>
          <w:sz w:val="20"/>
          <w:szCs w:val="20"/>
          <w:lang w:eastAsia="el-GR"/>
        </w:rPr>
        <w:t>,</w:t>
      </w:r>
      <w:proofErr w:type="gramEnd"/>
      <w:r w:rsidRPr="0058111A">
        <w:rPr>
          <w:rFonts w:ascii="Arial" w:eastAsia="Arial" w:hAnsi="Arial" w:cs="Arial"/>
          <w:bCs/>
          <w:iCs/>
          <w:sz w:val="20"/>
          <w:szCs w:val="20"/>
          <w:lang w:eastAsia="el-GR"/>
        </w:rPr>
        <w:t xml:space="preserve">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и</w:t>
      </w:r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правноснажне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пресуде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побијање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правних радњи и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повраћај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имовине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стечајног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дужника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стечајну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>
        <w:rPr>
          <w:rFonts w:ascii="Arial" w:eastAsia="Times New Roman" w:hAnsi="Arial" w:cs="Arial"/>
          <w:sz w:val="20"/>
          <w:szCs w:val="20"/>
        </w:rPr>
        <w:t>масу</w:t>
      </w:r>
      <w:proofErr w:type="spellEnd"/>
      <w:r w:rsidR="009959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9598F" w:rsidRPr="009D37A4">
        <w:rPr>
          <w:rFonts w:ascii="Arial" w:eastAsia="Times New Roman" w:hAnsi="Arial" w:cs="Arial"/>
          <w:sz w:val="20"/>
          <w:szCs w:val="20"/>
        </w:rPr>
        <w:t>П.бр</w:t>
      </w:r>
      <w:proofErr w:type="spellEnd"/>
      <w:r w:rsidR="006335B3" w:rsidRPr="009D37A4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162065" w:rsidRPr="009D37A4">
        <w:rPr>
          <w:rFonts w:ascii="Arial" w:eastAsia="Times New Roman" w:hAnsi="Arial" w:cs="Arial"/>
          <w:sz w:val="20"/>
          <w:szCs w:val="20"/>
          <w:lang w:val="sr-Cyrl-CS"/>
        </w:rPr>
        <w:t>798/18</w:t>
      </w:r>
      <w:r w:rsidRPr="009D37A4">
        <w:rPr>
          <w:rFonts w:ascii="Arial" w:eastAsia="Times New Roman" w:hAnsi="Arial" w:cs="Arial"/>
          <w:sz w:val="20"/>
          <w:szCs w:val="20"/>
          <w:lang w:val="sr-Cyrl-CS"/>
        </w:rPr>
        <w:t>,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а у складу са члан</w:t>
      </w:r>
      <w:r w:rsidRPr="0058111A">
        <w:rPr>
          <w:rFonts w:ascii="Arial" w:eastAsia="Times New Roman" w:hAnsi="Arial" w:cs="Arial"/>
          <w:sz w:val="20"/>
          <w:szCs w:val="20"/>
        </w:rPr>
        <w:t>o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вима 131., 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132. и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135. Закона о стечају («</w:t>
      </w:r>
      <w:r w:rsidRPr="0058111A">
        <w:rPr>
          <w:rFonts w:ascii="Arial" w:eastAsia="Times New Roman" w:hAnsi="Arial" w:cs="Arial"/>
          <w:i/>
          <w:sz w:val="20"/>
          <w:szCs w:val="20"/>
          <w:lang w:val="sr-Cyrl-CS"/>
        </w:rPr>
        <w:t>Сл</w:t>
      </w:r>
      <w:r w:rsidR="0099598F">
        <w:rPr>
          <w:rFonts w:ascii="Arial" w:eastAsia="Times New Roman" w:hAnsi="Arial" w:cs="Arial"/>
          <w:i/>
          <w:sz w:val="20"/>
          <w:szCs w:val="20"/>
          <w:lang w:val="sr-Cyrl-CS"/>
        </w:rPr>
        <w:t>.</w:t>
      </w:r>
      <w:r w:rsidRPr="0058111A">
        <w:rPr>
          <w:rFonts w:ascii="Arial" w:eastAsia="Times New Roman" w:hAnsi="Arial" w:cs="Arial"/>
          <w:i/>
          <w:sz w:val="20"/>
          <w:szCs w:val="20"/>
          <w:lang w:val="sr-Cyrl-CS"/>
        </w:rPr>
        <w:t xml:space="preserve"> гласник  Републике Србије» број 104/2009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) и Националним стандардом бр. 5 о начину и поступку уновчења имовине («</w:t>
      </w:r>
      <w:r w:rsidR="006335B3">
        <w:rPr>
          <w:rFonts w:ascii="Arial" w:eastAsia="Times New Roman" w:hAnsi="Arial" w:cs="Arial"/>
          <w:i/>
          <w:sz w:val="20"/>
          <w:szCs w:val="20"/>
          <w:lang w:val="sr-Cyrl-CS"/>
        </w:rPr>
        <w:t>Сл.</w:t>
      </w:r>
      <w:r w:rsidRPr="0058111A">
        <w:rPr>
          <w:rFonts w:ascii="Arial" w:eastAsia="Times New Roman" w:hAnsi="Arial" w:cs="Arial"/>
          <w:i/>
          <w:sz w:val="20"/>
          <w:szCs w:val="20"/>
          <w:lang w:val="sr-Cyrl-CS"/>
        </w:rPr>
        <w:t xml:space="preserve"> </w:t>
      </w:r>
      <w:r w:rsidR="006335B3">
        <w:rPr>
          <w:rFonts w:ascii="Arial" w:eastAsia="Times New Roman" w:hAnsi="Arial" w:cs="Arial"/>
          <w:i/>
          <w:sz w:val="20"/>
          <w:szCs w:val="20"/>
          <w:lang w:val="sr-Cyrl-CS"/>
        </w:rPr>
        <w:t>г</w:t>
      </w:r>
      <w:r w:rsidRPr="0058111A">
        <w:rPr>
          <w:rFonts w:ascii="Arial" w:eastAsia="Times New Roman" w:hAnsi="Arial" w:cs="Arial"/>
          <w:i/>
          <w:sz w:val="20"/>
          <w:szCs w:val="20"/>
          <w:lang w:val="sr-Cyrl-CS"/>
        </w:rPr>
        <w:t>ласник Републике Србије» бр</w:t>
      </w:r>
      <w:r w:rsidR="006335B3">
        <w:rPr>
          <w:rFonts w:ascii="Arial" w:eastAsia="Times New Roman" w:hAnsi="Arial" w:cs="Arial"/>
          <w:i/>
          <w:sz w:val="20"/>
          <w:szCs w:val="20"/>
          <w:lang w:val="sr-Cyrl-CS"/>
        </w:rPr>
        <w:t>.</w:t>
      </w:r>
      <w:r w:rsidRPr="0058111A">
        <w:rPr>
          <w:rFonts w:ascii="Arial" w:eastAsia="Times New Roman" w:hAnsi="Arial" w:cs="Arial"/>
          <w:i/>
          <w:sz w:val="20"/>
          <w:szCs w:val="20"/>
          <w:lang w:val="ru-RU"/>
        </w:rPr>
        <w:t>13/2010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), стечајни управник стечајног дужника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58111A" w:rsidRPr="0058111A" w:rsidRDefault="0058111A" w:rsidP="002E458F">
      <w:pPr>
        <w:spacing w:before="60" w:after="60" w:line="240" w:lineRule="auto"/>
        <w:ind w:left="90" w:right="180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Стечајна маса 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ДОО “ЛАГАДО“ у стечају Бујановац</w:t>
      </w:r>
    </w:p>
    <w:p w:rsidR="0058111A" w:rsidRPr="0058111A" w:rsidRDefault="0058111A" w:rsidP="00FB136F">
      <w:pPr>
        <w:spacing w:after="0" w:line="240" w:lineRule="auto"/>
        <w:ind w:left="90" w:right="180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ОГЛАШАВА</w:t>
      </w:r>
    </w:p>
    <w:p w:rsidR="0058111A" w:rsidRPr="0058111A" w:rsidRDefault="0058111A" w:rsidP="00FB136F">
      <w:pPr>
        <w:spacing w:after="0" w:line="240" w:lineRule="auto"/>
        <w:ind w:left="90" w:right="180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Продају </w:t>
      </w:r>
      <w:r>
        <w:rPr>
          <w:rFonts w:ascii="Arial" w:eastAsia="Times New Roman" w:hAnsi="Arial" w:cs="Arial"/>
          <w:b/>
          <w:sz w:val="20"/>
          <w:szCs w:val="20"/>
        </w:rPr>
        <w:t xml:space="preserve">непокретне имовине 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стечајн</w:t>
      </w:r>
      <w:r>
        <w:rPr>
          <w:rFonts w:ascii="Arial" w:eastAsia="Times New Roman" w:hAnsi="Arial" w:cs="Arial"/>
          <w:b/>
          <w:sz w:val="20"/>
          <w:szCs w:val="20"/>
          <w:lang w:val="sr-Cyrl-CS"/>
        </w:rPr>
        <w:t>е масе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јавним надметањем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b/>
          <w:sz w:val="16"/>
          <w:szCs w:val="16"/>
          <w:lang w:val="sr-Cyrl-CS"/>
        </w:rPr>
      </w:pPr>
    </w:p>
    <w:tbl>
      <w:tblPr>
        <w:tblW w:w="101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10"/>
        <w:gridCol w:w="1980"/>
        <w:gridCol w:w="1980"/>
      </w:tblGrid>
      <w:tr w:rsidR="002C4DE5" w:rsidRPr="0058111A" w:rsidTr="00E76260">
        <w:tc>
          <w:tcPr>
            <w:tcW w:w="6210" w:type="dxa"/>
            <w:vAlign w:val="center"/>
          </w:tcPr>
          <w:p w:rsidR="0058111A" w:rsidRPr="0058111A" w:rsidRDefault="0032748C" w:rsidP="00E76260">
            <w:pPr>
              <w:spacing w:after="0" w:line="240" w:lineRule="auto"/>
              <w:ind w:left="90" w:right="1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редмет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 продаје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1980" w:type="dxa"/>
            <w:vAlign w:val="center"/>
          </w:tcPr>
          <w:p w:rsidR="0058111A" w:rsidRPr="0058111A" w:rsidRDefault="0058111A" w:rsidP="00E76260">
            <w:pPr>
              <w:spacing w:after="0" w:line="240" w:lineRule="auto"/>
              <w:ind w:left="90" w:right="1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Почетна цена (дин.)</w:t>
            </w:r>
          </w:p>
        </w:tc>
        <w:tc>
          <w:tcPr>
            <w:tcW w:w="1980" w:type="dxa"/>
            <w:vAlign w:val="center"/>
          </w:tcPr>
          <w:p w:rsidR="0058111A" w:rsidRPr="0058111A" w:rsidRDefault="0058111A" w:rsidP="00E76260">
            <w:pPr>
              <w:spacing w:after="0" w:line="240" w:lineRule="auto"/>
              <w:ind w:left="90" w:right="1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Депозит (дин.)</w:t>
            </w:r>
          </w:p>
        </w:tc>
      </w:tr>
      <w:tr w:rsidR="002C4DE5" w:rsidRPr="0058111A" w:rsidTr="00E41D65">
        <w:trPr>
          <w:trHeight w:val="692"/>
        </w:trPr>
        <w:tc>
          <w:tcPr>
            <w:tcW w:w="6210" w:type="dxa"/>
            <w:vAlign w:val="center"/>
          </w:tcPr>
          <w:p w:rsidR="0058111A" w:rsidRPr="0058111A" w:rsidRDefault="0058111A" w:rsidP="00FB136F">
            <w:pPr>
              <w:spacing w:after="0" w:line="240" w:lineRule="auto"/>
              <w:ind w:left="90" w:right="18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sr-Cyrl-CS"/>
              </w:rPr>
            </w:pPr>
          </w:p>
          <w:p w:rsidR="0058111A" w:rsidRPr="00060346" w:rsidRDefault="0058111A" w:rsidP="002C4DE5">
            <w:pPr>
              <w:spacing w:after="0" w:line="240" w:lineRule="auto"/>
              <w:ind w:left="90" w:right="180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З</w:t>
            </w:r>
            <w:r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емљиште </w:t>
            </w:r>
            <w:proofErr w:type="spellStart"/>
            <w:r w:rsidRPr="0058111A">
              <w:rPr>
                <w:rFonts w:ascii="Arial" w:eastAsia="Times New Roman" w:hAnsi="Arial" w:cs="Arial"/>
                <w:b/>
                <w:sz w:val="20"/>
                <w:szCs w:val="20"/>
              </w:rPr>
              <w:t>на</w:t>
            </w:r>
            <w:proofErr w:type="spellEnd"/>
            <w:r w:rsidRPr="0058111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КП бр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.4</w:t>
            </w:r>
            <w:r w:rsidRPr="0058111A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8/1 </w:t>
            </w:r>
            <w:r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уписан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о</w:t>
            </w:r>
            <w:r w:rsidR="00FB136F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 у Лист непокретности бр.</w:t>
            </w:r>
            <w:r w:rsidR="008548A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33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8</w:t>
            </w:r>
            <w:r w:rsidR="008548A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9</w:t>
            </w:r>
            <w:r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 КО Бујановац</w:t>
            </w:r>
            <w:r w:rsidR="003274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32748C">
              <w:rPr>
                <w:rFonts w:ascii="Arial" w:eastAsia="Times New Roman" w:hAnsi="Arial" w:cs="Arial"/>
                <w:b/>
                <w:sz w:val="20"/>
                <w:szCs w:val="20"/>
              </w:rPr>
              <w:t>површине</w:t>
            </w:r>
            <w:proofErr w:type="spellEnd"/>
            <w:r w:rsidR="003274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1885</w:t>
            </w:r>
            <w:r w:rsidR="00A66A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32748C"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  <w:r w:rsidR="0032748C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="00060346"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  <w:t xml:space="preserve"> у ул. Карађорђа Петровића 183 у Бујановцу.</w:t>
            </w:r>
          </w:p>
          <w:p w:rsidR="0058111A" w:rsidRPr="0058111A" w:rsidRDefault="0058111A" w:rsidP="00FB136F">
            <w:pPr>
              <w:spacing w:after="0" w:line="240" w:lineRule="auto"/>
              <w:ind w:left="90" w:right="18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58111A" w:rsidRPr="0058111A" w:rsidRDefault="0032748C" w:rsidP="00FB136F">
            <w:pPr>
              <w:spacing w:after="0" w:line="240" w:lineRule="auto"/>
              <w:ind w:left="90" w:right="18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.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856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0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980" w:type="dxa"/>
            <w:vAlign w:val="center"/>
          </w:tcPr>
          <w:p w:rsidR="0058111A" w:rsidRPr="0058111A" w:rsidRDefault="0032748C" w:rsidP="00FB136F">
            <w:pPr>
              <w:spacing w:after="0" w:line="240" w:lineRule="auto"/>
              <w:ind w:left="90" w:right="18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9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73.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14</w:t>
            </w:r>
            <w:r w:rsidR="0058111A" w:rsidRPr="0058111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40</w:t>
            </w:r>
          </w:p>
        </w:tc>
      </w:tr>
    </w:tbl>
    <w:p w:rsidR="0058111A" w:rsidRPr="00AA6315" w:rsidRDefault="0058111A" w:rsidP="00FB136F">
      <w:pPr>
        <w:spacing w:after="6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58111A" w:rsidRPr="0058111A" w:rsidRDefault="0058111A" w:rsidP="00FB136F">
      <w:pPr>
        <w:spacing w:after="6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која:</w:t>
      </w:r>
    </w:p>
    <w:p w:rsidR="0058111A" w:rsidRPr="0058111A" w:rsidRDefault="0058111A" w:rsidP="00FB136F">
      <w:pPr>
        <w:numPr>
          <w:ilvl w:val="0"/>
          <w:numId w:val="2"/>
        </w:numPr>
        <w:tabs>
          <w:tab w:val="clear" w:pos="540"/>
          <w:tab w:val="num" w:pos="45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Pr="0058111A">
        <w:rPr>
          <w:rFonts w:ascii="Arial" w:eastAsia="Times New Roman" w:hAnsi="Arial" w:cs="Arial"/>
          <w:b/>
          <w:sz w:val="20"/>
          <w:szCs w:val="20"/>
        </w:rPr>
        <w:t>6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0.000,00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динара плус ПДВ.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Профактура се може преузети на адреси </w:t>
      </w:r>
      <w:r w:rsidR="005640EE" w:rsidRPr="0058111A">
        <w:rPr>
          <w:rFonts w:ascii="Arial" w:eastAsia="Times New Roman" w:hAnsi="Arial" w:cs="Arial"/>
          <w:sz w:val="20"/>
          <w:szCs w:val="20"/>
          <w:lang w:val="sr-Cyrl-CS"/>
        </w:rPr>
        <w:t>ул.Ђорђа Лешњака 7, локал бр.7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у Лесковцу, сваког радног дана у периоду од 8 до 14:30 часова, уз обавезну најаву стечајном управнику. Рок за откуп продајне документације је </w:t>
      </w:r>
      <w:r w:rsidR="009D37A4" w:rsidRPr="00FA544A">
        <w:rPr>
          <w:rFonts w:ascii="Arial" w:eastAsia="Times New Roman" w:hAnsi="Arial" w:cs="Arial"/>
          <w:b/>
          <w:sz w:val="20"/>
          <w:szCs w:val="20"/>
        </w:rPr>
        <w:t>05</w:t>
      </w:r>
      <w:r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  <w:r w:rsidR="009D37A4" w:rsidRPr="00FA544A">
        <w:rPr>
          <w:rFonts w:ascii="Arial" w:eastAsia="Times New Roman" w:hAnsi="Arial" w:cs="Arial"/>
          <w:b/>
          <w:sz w:val="20"/>
          <w:szCs w:val="20"/>
        </w:rPr>
        <w:t>05</w:t>
      </w:r>
      <w:r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.20</w:t>
      </w:r>
      <w:r w:rsidR="0032748C"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23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>год.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;</w:t>
      </w:r>
    </w:p>
    <w:p w:rsidR="0058111A" w:rsidRPr="0058111A" w:rsidRDefault="0058111A" w:rsidP="00FB136F">
      <w:pPr>
        <w:numPr>
          <w:ilvl w:val="0"/>
          <w:numId w:val="2"/>
        </w:numPr>
        <w:tabs>
          <w:tab w:val="num" w:pos="450"/>
        </w:tabs>
        <w:spacing w:after="0" w:line="240" w:lineRule="auto"/>
        <w:ind w:left="90" w:right="180" w:firstLine="0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уплате 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депозит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са позивом на број </w:t>
      </w:r>
      <w:r w:rsidRPr="0058111A">
        <w:rPr>
          <w:rFonts w:ascii="Arial" w:eastAsia="Times New Roman" w:hAnsi="Arial" w:cs="Arial"/>
          <w:b/>
          <w:sz w:val="20"/>
          <w:szCs w:val="20"/>
        </w:rPr>
        <w:t>26-2013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, на текући рачун стечајног дужника број: 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155-</w:t>
      </w:r>
      <w:r w:rsidR="0032748C">
        <w:rPr>
          <w:rFonts w:ascii="Arial" w:eastAsia="Times New Roman" w:hAnsi="Arial" w:cs="Arial"/>
          <w:b/>
          <w:sz w:val="20"/>
          <w:szCs w:val="20"/>
          <w:lang w:val="sr-Cyrl-CS"/>
        </w:rPr>
        <w:t>32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2</w:t>
      </w:r>
      <w:r w:rsidR="0032748C">
        <w:rPr>
          <w:rFonts w:ascii="Arial" w:eastAsia="Times New Roman" w:hAnsi="Arial" w:cs="Arial"/>
          <w:b/>
          <w:sz w:val="20"/>
          <w:szCs w:val="20"/>
          <w:lang w:val="sr-Cyrl-CS"/>
        </w:rPr>
        <w:t>0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5-</w:t>
      </w:r>
      <w:r w:rsidR="0032748C">
        <w:rPr>
          <w:rFonts w:ascii="Arial" w:eastAsia="Times New Roman" w:hAnsi="Arial" w:cs="Arial"/>
          <w:b/>
          <w:sz w:val="20"/>
          <w:szCs w:val="20"/>
          <w:lang w:val="sr-Cyrl-CS"/>
        </w:rPr>
        <w:t>07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код </w:t>
      </w:r>
      <w:r w:rsidR="0032748C">
        <w:rPr>
          <w:rFonts w:ascii="Arial" w:eastAsia="Times New Roman" w:hAnsi="Arial" w:cs="Arial"/>
          <w:b/>
          <w:sz w:val="20"/>
          <w:szCs w:val="20"/>
          <w:lang w:val="sr-Cyrl-CS"/>
        </w:rPr>
        <w:t>ХАЛК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банке  Филијала Лесковац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или положе неопозиву првокласну банкарску гаранцију наплативу на први позив</w:t>
      </w:r>
      <w:r w:rsidR="0052245C">
        <w:rPr>
          <w:rFonts w:ascii="Arial" w:eastAsia="Times New Roman" w:hAnsi="Arial" w:cs="Arial"/>
          <w:sz w:val="20"/>
          <w:szCs w:val="20"/>
        </w:rPr>
        <w:t xml:space="preserve"> са </w:t>
      </w:r>
      <w:proofErr w:type="spellStart"/>
      <w:r w:rsidR="0052245C">
        <w:rPr>
          <w:rFonts w:ascii="Arial" w:eastAsia="Times New Roman" w:hAnsi="Arial" w:cs="Arial"/>
          <w:sz w:val="20"/>
          <w:szCs w:val="20"/>
        </w:rPr>
        <w:t>роком</w:t>
      </w:r>
      <w:proofErr w:type="spellEnd"/>
      <w:r w:rsidR="0052245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2245C">
        <w:rPr>
          <w:rFonts w:ascii="Arial" w:eastAsia="Times New Roman" w:hAnsi="Arial" w:cs="Arial"/>
          <w:sz w:val="20"/>
          <w:szCs w:val="20"/>
        </w:rPr>
        <w:t>важења</w:t>
      </w:r>
      <w:proofErr w:type="spellEnd"/>
      <w:r w:rsidR="0052245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2245C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="0052245C">
        <w:rPr>
          <w:rFonts w:ascii="Arial" w:eastAsia="Times New Roman" w:hAnsi="Arial" w:cs="Arial"/>
          <w:sz w:val="20"/>
          <w:szCs w:val="20"/>
        </w:rPr>
        <w:t xml:space="preserve"> </w:t>
      </w:r>
      <w:r w:rsidR="0052245C" w:rsidRPr="00FA544A">
        <w:rPr>
          <w:rFonts w:ascii="Arial" w:eastAsia="Times New Roman" w:hAnsi="Arial" w:cs="Arial"/>
          <w:b/>
          <w:sz w:val="20"/>
          <w:szCs w:val="20"/>
        </w:rPr>
        <w:t>13.07.2023</w:t>
      </w:r>
      <w:r w:rsidR="0052245C">
        <w:rPr>
          <w:rFonts w:ascii="Arial" w:eastAsia="Times New Roman" w:hAnsi="Arial" w:cs="Arial"/>
          <w:sz w:val="20"/>
          <w:szCs w:val="20"/>
        </w:rPr>
        <w:t>,г.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5640EE">
        <w:rPr>
          <w:rFonts w:ascii="Arial" w:eastAsia="Times New Roman" w:hAnsi="Arial" w:cs="Arial"/>
          <w:sz w:val="20"/>
          <w:szCs w:val="20"/>
          <w:lang/>
        </w:rPr>
        <w:t>Р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ок за уплату депозита је </w:t>
      </w:r>
      <w:r w:rsidR="009D37A4" w:rsidRPr="005640EE">
        <w:rPr>
          <w:rFonts w:ascii="Arial" w:eastAsia="Times New Roman" w:hAnsi="Arial" w:cs="Arial"/>
          <w:b/>
          <w:sz w:val="20"/>
          <w:szCs w:val="20"/>
        </w:rPr>
        <w:t>08</w:t>
      </w:r>
      <w:r w:rsidRPr="005640EE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  <w:r w:rsidR="009D37A4" w:rsidRPr="005640EE">
        <w:rPr>
          <w:rFonts w:ascii="Arial" w:eastAsia="Times New Roman" w:hAnsi="Arial" w:cs="Arial"/>
          <w:b/>
          <w:sz w:val="20"/>
          <w:szCs w:val="20"/>
        </w:rPr>
        <w:t>05</w:t>
      </w:r>
      <w:r w:rsidRPr="005640EE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  <w:r w:rsidR="0032748C" w:rsidRPr="005640EE">
        <w:rPr>
          <w:rFonts w:ascii="Arial" w:eastAsia="Times New Roman" w:hAnsi="Arial" w:cs="Arial"/>
          <w:b/>
          <w:sz w:val="20"/>
          <w:szCs w:val="20"/>
          <w:lang w:val="sr-Cyrl-CS"/>
        </w:rPr>
        <w:t>2023</w:t>
      </w:r>
      <w:r w:rsidRPr="0058111A">
        <w:rPr>
          <w:rFonts w:ascii="Arial" w:eastAsia="Times New Roman" w:hAnsi="Arial" w:cs="Arial"/>
          <w:sz w:val="20"/>
          <w:szCs w:val="20"/>
          <w:lang w:val="sr-Latn-CS"/>
        </w:rPr>
        <w:t>.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>год.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У случају да се као депозит положи првокласна банкарска гаранција, ор</w:t>
      </w:r>
      <w:r w:rsidRPr="0058111A">
        <w:rPr>
          <w:rFonts w:ascii="Arial" w:eastAsia="Times New Roman" w:hAnsi="Arial" w:cs="Arial"/>
          <w:sz w:val="20"/>
          <w:szCs w:val="20"/>
          <w:lang w:val="sr-Latn-CS"/>
        </w:rPr>
        <w:t>и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гинал исте се ради провере мора доставити искључиво лично стечајном управнику Дејану  Петковићу, Лесковац, ул.Ђорђа Лешњака 7, локал бр.7, најкасније </w:t>
      </w:r>
      <w:r w:rsidR="009D37A4" w:rsidRPr="00FA544A">
        <w:rPr>
          <w:rFonts w:ascii="Arial" w:eastAsia="Times New Roman" w:hAnsi="Arial" w:cs="Arial"/>
          <w:b/>
          <w:sz w:val="20"/>
          <w:szCs w:val="20"/>
        </w:rPr>
        <w:t>08</w:t>
      </w:r>
      <w:r w:rsidR="0032748C"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  <w:r w:rsidR="009D37A4" w:rsidRPr="00FA544A">
        <w:rPr>
          <w:rFonts w:ascii="Arial" w:eastAsia="Times New Roman" w:hAnsi="Arial" w:cs="Arial"/>
          <w:b/>
          <w:sz w:val="20"/>
          <w:szCs w:val="20"/>
        </w:rPr>
        <w:t>05</w:t>
      </w:r>
      <w:r w:rsidRPr="00FA544A">
        <w:rPr>
          <w:rFonts w:ascii="Arial" w:eastAsia="Times New Roman" w:hAnsi="Arial" w:cs="Arial"/>
          <w:b/>
          <w:sz w:val="20"/>
          <w:szCs w:val="20"/>
          <w:lang w:val="sr-Latn-CS"/>
        </w:rPr>
        <w:t>.</w:t>
      </w:r>
      <w:r w:rsidR="005640EE"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2023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58111A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>год.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до 1</w:t>
      </w:r>
      <w:r w:rsidR="005640EE">
        <w:rPr>
          <w:rFonts w:ascii="Arial" w:eastAsia="Times New Roman" w:hAnsi="Arial" w:cs="Arial"/>
          <w:sz w:val="20"/>
          <w:szCs w:val="20"/>
          <w:lang w:val="sr-Cyrl-CS"/>
        </w:rPr>
        <w:t>4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.00 часова по локалном времену (</w:t>
      </w:r>
      <w:r w:rsidRPr="0058111A">
        <w:rPr>
          <w:rFonts w:ascii="Arial" w:eastAsia="Times New Roman" w:hAnsi="Arial" w:cs="Arial"/>
          <w:sz w:val="20"/>
          <w:szCs w:val="20"/>
        </w:rPr>
        <w:t>GMT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+1). У обзир ће се узети само банкарске гаранције које пристигну на назначену адресу у назначено време</w:t>
      </w:r>
      <w:r w:rsidRPr="0058111A">
        <w:rPr>
          <w:rFonts w:ascii="Arial" w:eastAsia="Times New Roman" w:hAnsi="Arial" w:cs="Arial"/>
          <w:sz w:val="20"/>
          <w:szCs w:val="20"/>
        </w:rPr>
        <w:t>;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8111A" w:rsidRPr="0058111A" w:rsidRDefault="0058111A" w:rsidP="00FB136F">
      <w:pPr>
        <w:numPr>
          <w:ilvl w:val="0"/>
          <w:numId w:val="2"/>
        </w:numPr>
        <w:tabs>
          <w:tab w:val="num" w:pos="45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потпишу изјаву о губитку права на повраћај депозита. Изјава чини саставни део продајне документације</w:t>
      </w:r>
      <w:r w:rsidRPr="0058111A">
        <w:rPr>
          <w:rFonts w:ascii="Arial" w:eastAsia="Times New Roman" w:hAnsi="Arial" w:cs="Arial"/>
          <w:sz w:val="20"/>
          <w:szCs w:val="20"/>
        </w:rPr>
        <w:t>.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сваким </w:t>
      </w:r>
      <w:r w:rsidR="00060346">
        <w:rPr>
          <w:rFonts w:ascii="Arial" w:eastAsia="Times New Roman" w:hAnsi="Arial" w:cs="Arial"/>
          <w:sz w:val="20"/>
          <w:szCs w:val="20"/>
          <w:lang w:val="ru-RU"/>
        </w:rPr>
        <w:t>радним даном од 8 до 14 часова,</w:t>
      </w:r>
      <w:r w:rsidR="00060346">
        <w:rPr>
          <w:rFonts w:ascii="Arial" w:eastAsia="Times New Roman" w:hAnsi="Arial" w:cs="Arial"/>
          <w:sz w:val="20"/>
          <w:szCs w:val="20"/>
          <w:lang w:val="sr-Cyrl-CS"/>
        </w:rPr>
        <w:t xml:space="preserve"> најкасније до </w:t>
      </w:r>
      <w:r w:rsidR="00060346"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09.05.2023</w:t>
      </w:r>
      <w:r w:rsidR="00060346">
        <w:rPr>
          <w:rFonts w:ascii="Arial" w:eastAsia="Times New Roman" w:hAnsi="Arial" w:cs="Arial"/>
          <w:sz w:val="20"/>
          <w:szCs w:val="20"/>
          <w:lang w:val="sr-Cyrl-CS"/>
        </w:rPr>
        <w:t>.г.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 уз претходну најаву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стечајном управнику.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Након уплате депозита, а најкасније до </w:t>
      </w:r>
      <w:r w:rsidR="009D37A4" w:rsidRPr="00FA544A">
        <w:rPr>
          <w:rFonts w:ascii="Arial" w:eastAsia="Times New Roman" w:hAnsi="Arial" w:cs="Arial"/>
          <w:b/>
          <w:sz w:val="20"/>
          <w:szCs w:val="20"/>
        </w:rPr>
        <w:t>09</w:t>
      </w:r>
      <w:r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  <w:r w:rsidR="009D37A4" w:rsidRPr="00FA544A">
        <w:rPr>
          <w:rFonts w:ascii="Arial" w:eastAsia="Times New Roman" w:hAnsi="Arial" w:cs="Arial"/>
          <w:b/>
          <w:sz w:val="20"/>
          <w:szCs w:val="20"/>
        </w:rPr>
        <w:t>05</w:t>
      </w:r>
      <w:r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.20</w:t>
      </w:r>
      <w:r w:rsidR="0032748C" w:rsidRPr="00FA544A">
        <w:rPr>
          <w:rFonts w:ascii="Arial" w:eastAsia="Times New Roman" w:hAnsi="Arial" w:cs="Arial"/>
          <w:b/>
          <w:sz w:val="20"/>
          <w:szCs w:val="20"/>
          <w:lang w:val="sr-Cyrl-CS"/>
        </w:rPr>
        <w:t>23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>год.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, потенцијални купци, ради правовремене евиденције, морају предати стечајном управнику:</w:t>
      </w:r>
      <w:r w:rsidRPr="0058111A">
        <w:rPr>
          <w:rFonts w:ascii="Arial" w:eastAsia="Times New Roman" w:hAnsi="Arial" w:cs="Arial"/>
          <w:sz w:val="20"/>
          <w:szCs w:val="20"/>
          <w:lang w:val="sr-Cyrl-BA"/>
        </w:rPr>
        <w:t xml:space="preserve"> попуњен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образац пријаве за учешће</w:t>
      </w:r>
      <w:r w:rsidRPr="0058111A">
        <w:rPr>
          <w:rFonts w:ascii="Arial" w:eastAsia="Times New Roman" w:hAnsi="Arial" w:cs="Arial"/>
          <w:sz w:val="20"/>
          <w:szCs w:val="20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</w:t>
      </w:r>
      <w:r w:rsidR="0009370E">
        <w:rPr>
          <w:rFonts w:ascii="Arial" w:eastAsia="Times New Roman" w:hAnsi="Arial" w:cs="Arial"/>
          <w:sz w:val="20"/>
          <w:szCs w:val="20"/>
          <w:lang w:val="sr-Cyrl-BA"/>
        </w:rPr>
        <w:t xml:space="preserve"> односно сагласност да ће банкарска гаранција бити наплаћена у прописаним случајевима</w:t>
      </w:r>
      <w:r w:rsidRPr="0058111A">
        <w:rPr>
          <w:rFonts w:ascii="Arial" w:eastAsia="Times New Roman" w:hAnsi="Arial" w:cs="Arial"/>
          <w:sz w:val="20"/>
          <w:szCs w:val="20"/>
          <w:lang w:val="sr-Cyrl-BA"/>
        </w:rPr>
        <w:t xml:space="preserve">,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58111A">
        <w:rPr>
          <w:rFonts w:ascii="Arial" w:eastAsia="Times New Roman" w:hAnsi="Arial" w:cs="Arial"/>
          <w:sz w:val="20"/>
          <w:szCs w:val="20"/>
          <w:lang w:val="sr-Cyrl-BA"/>
        </w:rPr>
        <w:t>, овлашћење за заступање</w:t>
      </w:r>
      <w:r w:rsidR="00161826">
        <w:rPr>
          <w:rFonts w:ascii="Arial" w:eastAsia="Times New Roman" w:hAnsi="Arial" w:cs="Arial"/>
          <w:sz w:val="20"/>
          <w:szCs w:val="20"/>
          <w:lang w:val="sr-Cyrl-BA"/>
        </w:rPr>
        <w:t xml:space="preserve"> оверено код јавног бележника</w:t>
      </w:r>
      <w:r w:rsidRPr="0058111A">
        <w:rPr>
          <w:rFonts w:ascii="Arial" w:eastAsia="Times New Roman" w:hAnsi="Arial" w:cs="Arial"/>
          <w:sz w:val="20"/>
          <w:szCs w:val="20"/>
          <w:lang w:val="sr-Cyrl-BA"/>
        </w:rPr>
        <w:t>, уколико јавном надметању не присуствује потенцијални купац лично (за физичка лица) или законски заступник (за правна лица)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r-Latn-CS"/>
        </w:rPr>
      </w:pP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Јавно надметање</w:t>
      </w:r>
      <w:r w:rsidR="00AA6315">
        <w:rPr>
          <w:rFonts w:ascii="Arial" w:eastAsia="Times New Roman" w:hAnsi="Arial" w:cs="Arial"/>
          <w:sz w:val="20"/>
          <w:szCs w:val="20"/>
          <w:lang w:val="sr-Cyrl-CS"/>
        </w:rPr>
        <w:t xml:space="preserve"> одржаће се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52245C" w:rsidRPr="0052245C">
        <w:rPr>
          <w:rFonts w:ascii="Arial" w:eastAsia="Times New Roman" w:hAnsi="Arial" w:cs="Arial"/>
          <w:b/>
          <w:sz w:val="20"/>
          <w:szCs w:val="20"/>
        </w:rPr>
        <w:t>12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  <w:r w:rsidR="0052245C">
        <w:rPr>
          <w:rFonts w:ascii="Arial" w:eastAsia="Times New Roman" w:hAnsi="Arial" w:cs="Arial"/>
          <w:b/>
          <w:sz w:val="20"/>
          <w:szCs w:val="20"/>
        </w:rPr>
        <w:t>05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.20</w:t>
      </w:r>
      <w:r w:rsidR="0032748C">
        <w:rPr>
          <w:rFonts w:ascii="Arial" w:eastAsia="Times New Roman" w:hAnsi="Arial" w:cs="Arial"/>
          <w:b/>
          <w:sz w:val="20"/>
          <w:szCs w:val="20"/>
          <w:lang w:val="sr-Cyrl-CS"/>
        </w:rPr>
        <w:t>23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. </w:t>
      </w:r>
      <w:r w:rsidR="006335B3">
        <w:rPr>
          <w:rFonts w:ascii="Arial" w:eastAsia="Times New Roman" w:hAnsi="Arial" w:cs="Arial"/>
          <w:b/>
          <w:sz w:val="20"/>
          <w:szCs w:val="20"/>
          <w:lang w:val="sr-Cyrl-CS"/>
        </w:rPr>
        <w:t>год.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у </w:t>
      </w:r>
      <w:r w:rsidRPr="0058111A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>12.00 часова</w:t>
      </w:r>
      <w:r w:rsidRPr="0058111A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на </w:t>
      </w:r>
      <w:r w:rsidR="00AA631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адреси: Ђорђа Лешњака 7/</w:t>
      </w:r>
      <w:r w:rsidRPr="0058111A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7</w:t>
      </w:r>
      <w:r w:rsidRPr="0058111A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>, Лесковац</w:t>
      </w:r>
      <w:r w:rsidRPr="0058111A">
        <w:rPr>
          <w:rFonts w:ascii="Arial" w:eastAsia="Times New Roman" w:hAnsi="Arial" w:cs="Arial"/>
          <w:b/>
          <w:color w:val="000000"/>
          <w:sz w:val="20"/>
          <w:szCs w:val="20"/>
          <w:lang w:val="sr-Latn-CS"/>
        </w:rPr>
        <w:t xml:space="preserve">. </w:t>
      </w: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>Регистрација учесника</w:t>
      </w:r>
      <w:r w:rsidRPr="0058111A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10:00 до 11:50 часова, на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истој адреси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b/>
          <w:sz w:val="16"/>
          <w:szCs w:val="16"/>
          <w:lang w:val="sr-Cyrl-CS"/>
        </w:rPr>
      </w:pP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Стечајни управник спроводи јавно надметање тако што:</w:t>
      </w:r>
    </w:p>
    <w:p w:rsidR="0058111A" w:rsidRPr="0058111A" w:rsidRDefault="0058111A" w:rsidP="006E4A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58111A" w:rsidRPr="0058111A" w:rsidRDefault="0058111A" w:rsidP="006E4A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отвара јавно надметање читајући правила надметања;</w:t>
      </w:r>
    </w:p>
    <w:p w:rsidR="0058111A" w:rsidRPr="0058111A" w:rsidRDefault="0058111A" w:rsidP="006E4A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увећања;</w:t>
      </w:r>
    </w:p>
    <w:p w:rsidR="0058111A" w:rsidRPr="0058111A" w:rsidRDefault="0058111A" w:rsidP="006E4A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одржава ред на јавном надметању;</w:t>
      </w:r>
    </w:p>
    <w:p w:rsidR="0058111A" w:rsidRPr="0058111A" w:rsidRDefault="0058111A" w:rsidP="006E4A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проглашава за купца учесника који је прихватио највишу понуђену цену</w:t>
      </w:r>
      <w:r w:rsidRPr="0058111A">
        <w:rPr>
          <w:rFonts w:ascii="Arial" w:eastAsia="Times New Roman" w:hAnsi="Arial" w:cs="Arial"/>
          <w:sz w:val="20"/>
          <w:szCs w:val="20"/>
        </w:rPr>
        <w:t>;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8111A" w:rsidRPr="0058111A" w:rsidRDefault="0058111A" w:rsidP="006E4A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90" w:right="180" w:firstLine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потписује записник.</w:t>
      </w:r>
    </w:p>
    <w:p w:rsidR="0058111A" w:rsidRPr="00AA6315" w:rsidRDefault="0058111A" w:rsidP="00FB136F">
      <w:pPr>
        <w:spacing w:after="0" w:line="240" w:lineRule="auto"/>
        <w:ind w:left="90" w:right="180"/>
        <w:contextualSpacing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58111A" w:rsidRPr="0058111A" w:rsidRDefault="0058111A" w:rsidP="00FB136F">
      <w:pPr>
        <w:spacing w:after="0" w:line="240" w:lineRule="auto"/>
        <w:ind w:left="90" w:right="180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гаранција;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58111A" w:rsidRPr="0058111A" w:rsidRDefault="0058111A" w:rsidP="00FB136F">
      <w:pPr>
        <w:spacing w:after="0" w:line="240" w:lineRule="auto"/>
        <w:ind w:left="90" w:right="180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Купопродајни уговор се потписује у року од 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>3 радна дана од дана одржавања јавног надметања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BC64ED">
        <w:rPr>
          <w:rFonts w:ascii="Arial" w:eastAsia="Times New Roman" w:hAnsi="Arial" w:cs="Arial"/>
          <w:b/>
          <w:sz w:val="20"/>
          <w:szCs w:val="20"/>
          <w:lang w:val="sr-Cyrl-CS"/>
        </w:rPr>
        <w:t>10</w:t>
      </w:r>
      <w:r w:rsidRPr="0058111A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дана од дана потписивања уговора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. Ако проглашени купац не закључи купопродајни уговор, или не уплати купопродајну цену у прописаним 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lastRenderedPageBreak/>
        <w:t>роковима и по прописаној процедури, губи право на повраћај депозита, а за купца се проглашава други најбољи понуђач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>, који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1C2231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58111A" w:rsidRPr="00AA6315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16"/>
          <w:szCs w:val="16"/>
        </w:rPr>
      </w:pPr>
    </w:p>
    <w:p w:rsidR="0058111A" w:rsidRPr="0058111A" w:rsidRDefault="0058111A" w:rsidP="00FB136F">
      <w:pPr>
        <w:spacing w:after="0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конкуренције, сходно одредбама Закона о заштити конкурен</w:t>
      </w:r>
      <w:r w:rsidR="001C2231">
        <w:rPr>
          <w:rFonts w:ascii="Arial" w:eastAsia="Times New Roman" w:hAnsi="Arial" w:cs="Arial"/>
          <w:sz w:val="20"/>
          <w:szCs w:val="20"/>
          <w:lang w:val="sr-Cyrl-CS"/>
        </w:rPr>
        <w:t>ције („Сл. гласник РС“ бр. 51/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09</w:t>
      </w:r>
      <w:r w:rsidR="001C2231">
        <w:rPr>
          <w:rFonts w:ascii="Arial" w:eastAsia="Times New Roman" w:hAnsi="Arial" w:cs="Arial"/>
          <w:sz w:val="20"/>
          <w:szCs w:val="20"/>
          <w:lang w:val="sr-Cyrl-CS"/>
        </w:rPr>
        <w:t xml:space="preserve"> и 95/13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), услови и рокови закључења уговора биће прилагођени роковима одлучивања Комисије за заштиту конкуренције.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конкуренције. </w:t>
      </w:r>
    </w:p>
    <w:p w:rsidR="0058111A" w:rsidRPr="0058111A" w:rsidRDefault="0058111A" w:rsidP="00E76260">
      <w:pPr>
        <w:spacing w:after="0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Другом најповољнијем понуђачу депозит или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 xml:space="preserve"> банкарска гаранција (а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ко је депозит обезбеђен гаранцијом)</w:t>
      </w:r>
      <w:r w:rsidR="006335B3">
        <w:rPr>
          <w:rFonts w:ascii="Arial" w:eastAsia="Times New Roman" w:hAnsi="Arial" w:cs="Arial"/>
          <w:sz w:val="20"/>
          <w:szCs w:val="20"/>
          <w:lang w:val="sr-Cyrl-CS"/>
        </w:rPr>
        <w:t>,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 xml:space="preserve"> биће задржани до доношења одлуке Комисије за заштиту конкуренције по поднетој пријави купца.</w:t>
      </w: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</w:rPr>
        <w:t>O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влашћено лице:</w:t>
      </w:r>
      <w:r w:rsidRPr="0058111A">
        <w:rPr>
          <w:rFonts w:ascii="Arial" w:eastAsia="Times New Roman" w:hAnsi="Arial" w:cs="Arial"/>
          <w:sz w:val="20"/>
          <w:szCs w:val="20"/>
          <w:lang w:val="ru-RU"/>
        </w:rPr>
        <w:t xml:space="preserve">  Стечајни управник Дејан Петковић</w:t>
      </w:r>
      <w:r w:rsidRPr="0058111A">
        <w:rPr>
          <w:rFonts w:ascii="Arial" w:eastAsia="Times New Roman" w:hAnsi="Arial" w:cs="Arial"/>
          <w:sz w:val="20"/>
          <w:szCs w:val="20"/>
          <w:lang w:val="sr-Cyrl-CS"/>
        </w:rPr>
        <w:t>, контакт телефон: 061/698 36 54.</w:t>
      </w:r>
    </w:p>
    <w:p w:rsidR="0058111A" w:rsidRPr="0058111A" w:rsidRDefault="0058111A" w:rsidP="00FB136F">
      <w:pPr>
        <w:spacing w:after="0" w:line="240" w:lineRule="auto"/>
        <w:ind w:left="90" w:right="18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8111A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34284C" w:rsidRDefault="0034284C" w:rsidP="00FB136F">
      <w:pPr>
        <w:ind w:left="90" w:right="180"/>
      </w:pPr>
    </w:p>
    <w:sectPr w:rsidR="0034284C" w:rsidSect="00FB136F">
      <w:pgSz w:w="12240" w:h="15840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E5"/>
    <w:multiLevelType w:val="hybridMultilevel"/>
    <w:tmpl w:val="91F4A334"/>
    <w:lvl w:ilvl="0" w:tplc="92AE8E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37E6252"/>
    <w:multiLevelType w:val="hybridMultilevel"/>
    <w:tmpl w:val="E5F0C0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4475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C6EBDC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C6D3F"/>
    <w:multiLevelType w:val="hybridMultilevel"/>
    <w:tmpl w:val="3E2A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D194D"/>
    <w:multiLevelType w:val="hybridMultilevel"/>
    <w:tmpl w:val="5FA6C1DA"/>
    <w:lvl w:ilvl="0" w:tplc="AD4475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2B60C8"/>
    <w:multiLevelType w:val="hybridMultilevel"/>
    <w:tmpl w:val="42C6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8111A"/>
    <w:rsid w:val="00060346"/>
    <w:rsid w:val="0009370E"/>
    <w:rsid w:val="00161826"/>
    <w:rsid w:val="00162065"/>
    <w:rsid w:val="001C2231"/>
    <w:rsid w:val="002C4DE5"/>
    <w:rsid w:val="002D2C6B"/>
    <w:rsid w:val="002E458F"/>
    <w:rsid w:val="0032748C"/>
    <w:rsid w:val="0034284C"/>
    <w:rsid w:val="0052245C"/>
    <w:rsid w:val="005640EE"/>
    <w:rsid w:val="0058111A"/>
    <w:rsid w:val="005D5239"/>
    <w:rsid w:val="005E6638"/>
    <w:rsid w:val="006335B3"/>
    <w:rsid w:val="006E4A5B"/>
    <w:rsid w:val="007C2786"/>
    <w:rsid w:val="008548AA"/>
    <w:rsid w:val="00932D97"/>
    <w:rsid w:val="0099598F"/>
    <w:rsid w:val="009D37A4"/>
    <w:rsid w:val="00A3393F"/>
    <w:rsid w:val="00A66A9C"/>
    <w:rsid w:val="00AA24B3"/>
    <w:rsid w:val="00AA6315"/>
    <w:rsid w:val="00B50182"/>
    <w:rsid w:val="00BC64ED"/>
    <w:rsid w:val="00CF227A"/>
    <w:rsid w:val="00E41D65"/>
    <w:rsid w:val="00E76260"/>
    <w:rsid w:val="00E973FA"/>
    <w:rsid w:val="00FA544A"/>
    <w:rsid w:val="00FB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ninko</dc:creator>
  <cp:keywords/>
  <dc:description/>
  <cp:lastModifiedBy>ninko</cp:lastModifiedBy>
  <cp:revision>23</cp:revision>
  <cp:lastPrinted>2023-04-04T09:09:00Z</cp:lastPrinted>
  <dcterms:created xsi:type="dcterms:W3CDTF">2023-03-23T09:26:00Z</dcterms:created>
  <dcterms:modified xsi:type="dcterms:W3CDTF">2023-04-04T09:15:00Z</dcterms:modified>
</cp:coreProperties>
</file>